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3600"/>
        </w:tabs>
        <w:spacing w:after="200" w:lineRule="auto"/>
        <w:rPr>
          <w:b w:val="1"/>
          <w:sz w:val="28"/>
          <w:szCs w:val="28"/>
        </w:rPr>
      </w:pPr>
      <w:r w:rsidDel="00000000" w:rsidR="00000000" w:rsidRPr="00000000">
        <w:rPr>
          <w:rtl w:val="0"/>
        </w:rPr>
      </w:r>
    </w:p>
    <w:p w:rsidR="00000000" w:rsidDel="00000000" w:rsidP="00000000" w:rsidRDefault="00000000" w:rsidRPr="00000000" w14:paraId="00000002">
      <w:pPr>
        <w:tabs>
          <w:tab w:val="left" w:leader="none" w:pos="3600"/>
        </w:tabs>
        <w:spacing w:after="200" w:lineRule="auto"/>
        <w:rPr>
          <w:b w:val="1"/>
          <w:sz w:val="28"/>
          <w:szCs w:val="28"/>
        </w:rPr>
      </w:pPr>
      <w:r w:rsidDel="00000000" w:rsidR="00000000" w:rsidRPr="00000000">
        <w:rPr>
          <w:rtl w:val="0"/>
        </w:rPr>
      </w:r>
    </w:p>
    <w:p w:rsidR="00000000" w:rsidDel="00000000" w:rsidP="00000000" w:rsidRDefault="00000000" w:rsidRPr="00000000" w14:paraId="00000003">
      <w:pPr>
        <w:tabs>
          <w:tab w:val="left" w:leader="none" w:pos="3600"/>
        </w:tabs>
        <w:spacing w:after="200" w:lineRule="auto"/>
        <w:rPr>
          <w:b w:val="1"/>
          <w:sz w:val="28"/>
          <w:szCs w:val="28"/>
        </w:rPr>
      </w:pPr>
      <w:r w:rsidDel="00000000" w:rsidR="00000000" w:rsidRPr="00000000">
        <w:rPr>
          <w:b w:val="1"/>
          <w:sz w:val="28"/>
          <w:szCs w:val="28"/>
          <w:rtl w:val="0"/>
        </w:rPr>
        <w:t xml:space="preserve">Effective Date for this Policy:</w:t>
      </w:r>
      <w:r w:rsidDel="00000000" w:rsidR="00000000" w:rsidRPr="00000000">
        <w:rPr>
          <w:sz w:val="28"/>
          <w:szCs w:val="28"/>
          <w:rtl w:val="0"/>
        </w:rPr>
        <w:tab/>
      </w:r>
      <w:bookmarkStart w:colFirst="0" w:colLast="0" w:name="bookmark=id.gjdgxs" w:id="0"/>
      <w:bookmarkEnd w:id="0"/>
      <w:r w:rsidDel="00000000" w:rsidR="00000000" w:rsidRPr="00000000">
        <w:rPr>
          <w:rFonts w:ascii="Times New Roman" w:cs="Times New Roman" w:eastAsia="Times New Roman" w:hAnsi="Times New Roman"/>
          <w:sz w:val="28"/>
          <w:szCs w:val="28"/>
          <w:rtl w:val="0"/>
        </w:rPr>
        <w:t xml:space="preserve">     </w:t>
      </w:r>
      <w:r w:rsidDel="00000000" w:rsidR="00000000" w:rsidRPr="00000000">
        <w:rPr>
          <w:b w:val="1"/>
          <w:sz w:val="28"/>
          <w:szCs w:val="28"/>
          <w:rtl w:val="0"/>
        </w:rPr>
        <w:t xml:space="preserve"> </w:t>
      </w:r>
    </w:p>
    <w:p w:rsidR="00000000" w:rsidDel="00000000" w:rsidP="00000000" w:rsidRDefault="00000000" w:rsidRPr="00000000" w14:paraId="00000004">
      <w:pPr>
        <w:rPr>
          <w:b w:val="1"/>
          <w:sz w:val="28"/>
          <w:szCs w:val="28"/>
        </w:rPr>
      </w:pPr>
      <w:r w:rsidDel="00000000" w:rsidR="00000000" w:rsidRPr="00000000">
        <w:rPr>
          <w:b w:val="1"/>
          <w:sz w:val="28"/>
          <w:szCs w:val="28"/>
          <w:rtl w:val="0"/>
        </w:rPr>
        <w:t xml:space="preserve">Policy Steward(s):</w:t>
      </w:r>
    </w:p>
    <w:p w:rsidR="00000000" w:rsidDel="00000000" w:rsidP="00000000" w:rsidRDefault="00000000" w:rsidRPr="00000000" w14:paraId="00000005">
      <w:pPr>
        <w:tabs>
          <w:tab w:val="left" w:leader="none" w:pos="3600"/>
        </w:tabs>
        <w:rPr/>
      </w:pPr>
      <w:r w:rsidDel="00000000" w:rsidR="00000000" w:rsidRPr="00000000">
        <w:rPr>
          <w:rtl w:val="0"/>
        </w:rPr>
        <w:t xml:space="preserve">Individual Name(s):</w:t>
        <w:tab/>
      </w:r>
      <w:bookmarkStart w:colFirst="0" w:colLast="0" w:name="bookmark=id.30j0zll" w:id="1"/>
      <w:bookmarkEnd w:id="1"/>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06">
      <w:pPr>
        <w:tabs>
          <w:tab w:val="left" w:leader="none" w:pos="3600"/>
        </w:tabs>
        <w:rPr/>
      </w:pPr>
      <w:r w:rsidDel="00000000" w:rsidR="00000000" w:rsidRPr="00000000">
        <w:rPr>
          <w:rtl w:val="0"/>
        </w:rPr>
      </w:r>
    </w:p>
    <w:p w:rsidR="00000000" w:rsidDel="00000000" w:rsidP="00000000" w:rsidRDefault="00000000" w:rsidRPr="00000000" w14:paraId="00000007">
      <w:pPr>
        <w:tabs>
          <w:tab w:val="left" w:leader="none" w:pos="3600"/>
        </w:tabs>
        <w:rPr/>
      </w:pPr>
      <w:r w:rsidDel="00000000" w:rsidR="00000000" w:rsidRPr="00000000">
        <w:rPr>
          <w:rtl w:val="0"/>
        </w:rPr>
      </w:r>
    </w:p>
    <w:p w:rsidR="00000000" w:rsidDel="00000000" w:rsidP="00000000" w:rsidRDefault="00000000" w:rsidRPr="00000000" w14:paraId="00000008">
      <w:pPr>
        <w:rPr>
          <w:b w:val="1"/>
          <w:sz w:val="28"/>
          <w:szCs w:val="28"/>
        </w:rPr>
      </w:pPr>
      <w:r w:rsidDel="00000000" w:rsidR="00000000" w:rsidRPr="00000000">
        <w:rPr>
          <w:rtl w:val="0"/>
        </w:rPr>
      </w:r>
    </w:p>
    <w:p w:rsidR="00000000" w:rsidDel="00000000" w:rsidP="00000000" w:rsidRDefault="00000000" w:rsidRPr="00000000" w14:paraId="00000009">
      <w:pPr>
        <w:rPr>
          <w:b w:val="1"/>
          <w:sz w:val="28"/>
          <w:szCs w:val="28"/>
        </w:rPr>
      </w:pPr>
      <w:r w:rsidDel="00000000" w:rsidR="00000000" w:rsidRPr="00000000">
        <w:rPr>
          <w:rtl w:val="0"/>
        </w:rPr>
      </w:r>
    </w:p>
    <w:p w:rsidR="00000000" w:rsidDel="00000000" w:rsidP="00000000" w:rsidRDefault="00000000" w:rsidRPr="00000000" w14:paraId="0000000A">
      <w:pPr>
        <w:rPr>
          <w:b w:val="1"/>
          <w:sz w:val="28"/>
          <w:szCs w:val="28"/>
        </w:rPr>
      </w:pPr>
      <w:r w:rsidDel="00000000" w:rsidR="00000000" w:rsidRPr="00000000">
        <w:rPr>
          <w:rtl w:val="0"/>
        </w:rPr>
      </w:r>
    </w:p>
    <w:p w:rsidR="00000000" w:rsidDel="00000000" w:rsidP="00000000" w:rsidRDefault="00000000" w:rsidRPr="00000000" w14:paraId="0000000B">
      <w:pPr>
        <w:rPr>
          <w:b w:val="1"/>
          <w:sz w:val="28"/>
          <w:szCs w:val="28"/>
        </w:rPr>
      </w:pPr>
      <w:r w:rsidDel="00000000" w:rsidR="00000000" w:rsidRPr="00000000">
        <w:rPr>
          <w:b w:val="1"/>
          <w:sz w:val="28"/>
          <w:szCs w:val="28"/>
          <w:rtl w:val="0"/>
        </w:rPr>
        <w:t xml:space="preserve">Intent:</w:t>
      </w:r>
    </w:p>
    <w:p w:rsidR="00000000" w:rsidDel="00000000" w:rsidP="00000000" w:rsidRDefault="00000000" w:rsidRPr="00000000" w14:paraId="0000000C">
      <w:pPr>
        <w:tabs>
          <w:tab w:val="left" w:leader="none" w:pos="3600"/>
        </w:tabs>
        <w:rPr/>
      </w:pPr>
      <w:r w:rsidDel="00000000" w:rsidR="00000000" w:rsidRPr="00000000">
        <w:rPr>
          <w:rtl w:val="0"/>
        </w:rPr>
        <w:t xml:space="preserve">Buying from independent, locally owned businesses has several important benefits. Supporting independent, locally owned businesses helps keep money and resources in our local community. Local businesses create diversity in our community and make it unique. They provide jobs and a sense of place, and strengthen the economic base of the community, all of which, in turn, benefit our workforce, our local clients, and our company. When we buy locally we also support our company sustainability goals by reducing environmental impacts associated with transportation of goods from more distant providers.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tabs>
          <w:tab w:val="left" w:leader="none" w:pos="3600"/>
        </w:tabs>
        <w:rPr/>
      </w:pPr>
      <w:r w:rsidDel="00000000" w:rsidR="00000000" w:rsidRPr="00000000">
        <w:rPr>
          <w:rtl w:val="0"/>
        </w:rPr>
      </w:r>
    </w:p>
    <w:p w:rsidR="00000000" w:rsidDel="00000000" w:rsidP="00000000" w:rsidRDefault="00000000" w:rsidRPr="00000000" w14:paraId="0000000F">
      <w:pPr>
        <w:rPr>
          <w:b w:val="1"/>
          <w:sz w:val="28"/>
          <w:szCs w:val="28"/>
        </w:rPr>
      </w:pPr>
      <w:r w:rsidDel="00000000" w:rsidR="00000000" w:rsidRPr="00000000">
        <w:rPr>
          <w:b w:val="1"/>
          <w:sz w:val="28"/>
          <w:szCs w:val="28"/>
          <w:rtl w:val="0"/>
        </w:rPr>
        <w:t xml:space="preserve">Scope:</w:t>
      </w:r>
    </w:p>
    <w:p w:rsidR="00000000" w:rsidDel="00000000" w:rsidP="00000000" w:rsidRDefault="00000000" w:rsidRPr="00000000" w14:paraId="00000010">
      <w:pPr>
        <w:rPr/>
      </w:pPr>
      <w:r w:rsidDel="00000000" w:rsidR="00000000" w:rsidRPr="00000000">
        <w:rPr>
          <w:rtl w:val="0"/>
        </w:rPr>
      </w:r>
    </w:p>
    <w:bookmarkStart w:colFirst="0" w:colLast="0" w:name="bookmark=id.1fob9te" w:id="2"/>
    <w:bookmarkEnd w:id="2"/>
    <w:p w:rsidR="00000000" w:rsidDel="00000000" w:rsidP="00000000" w:rsidRDefault="00000000" w:rsidRPr="00000000" w14:paraId="00000011">
      <w:pPr>
        <w:tabs>
          <w:tab w:val="left" w:leader="none" w:pos="900"/>
          <w:tab w:val="left" w:leader="none" w:pos="3600"/>
        </w:tabs>
        <w:ind w:left="900" w:hanging="900"/>
        <w:rPr/>
      </w:pPr>
      <w:r w:rsidDel="00000000" w:rsidR="00000000" w:rsidRPr="00000000">
        <w:rPr>
          <w:rtl w:val="0"/>
        </w:rPr>
        <w:t xml:space="preserve">☐</w:t>
        <w:tab/>
        <w:t xml:space="preserve">This policy applies to all company purchasing.</w:t>
      </w:r>
    </w:p>
    <w:p w:rsidR="00000000" w:rsidDel="00000000" w:rsidP="00000000" w:rsidRDefault="00000000" w:rsidRPr="00000000" w14:paraId="00000012">
      <w:pPr>
        <w:tabs>
          <w:tab w:val="left" w:leader="none" w:pos="3600"/>
        </w:tabs>
        <w:rPr/>
      </w:pPr>
      <w:r w:rsidDel="00000000" w:rsidR="00000000" w:rsidRPr="00000000">
        <w:rPr>
          <w:rtl w:val="0"/>
        </w:rPr>
      </w:r>
    </w:p>
    <w:p w:rsidR="00000000" w:rsidDel="00000000" w:rsidP="00000000" w:rsidRDefault="00000000" w:rsidRPr="00000000" w14:paraId="00000013">
      <w:pPr>
        <w:tabs>
          <w:tab w:val="left" w:leader="none" w:pos="900"/>
          <w:tab w:val="left" w:leader="none" w:pos="3600"/>
        </w:tabs>
        <w:ind w:left="900" w:hanging="900"/>
        <w:rPr/>
      </w:pPr>
      <w:r w:rsidDel="00000000" w:rsidR="00000000" w:rsidRPr="00000000">
        <w:rPr>
          <w:rtl w:val="0"/>
        </w:rPr>
        <w:t xml:space="preserve">☐</w:t>
        <w:tab/>
        <w:t xml:space="preserve">This policy applies to [</w:t>
      </w:r>
      <w:r w:rsidDel="00000000" w:rsidR="00000000" w:rsidRPr="00000000">
        <w:rPr>
          <w:i w:val="1"/>
          <w:highlight w:val="yellow"/>
          <w:rtl w:val="0"/>
        </w:rPr>
        <w:t xml:space="preserve">specify</w:t>
      </w:r>
      <w:r w:rsidDel="00000000" w:rsidR="00000000" w:rsidRPr="00000000">
        <w:rPr>
          <w:rtl w:val="0"/>
        </w:rPr>
        <w:t xml:space="preserve">] company purchasing</w:t>
      </w:r>
    </w:p>
    <w:p w:rsidR="00000000" w:rsidDel="00000000" w:rsidP="00000000" w:rsidRDefault="00000000" w:rsidRPr="00000000" w14:paraId="00000014">
      <w:pPr>
        <w:tabs>
          <w:tab w:val="left" w:leader="none" w:pos="3600"/>
        </w:tabs>
        <w:rPr/>
      </w:pPr>
      <w:r w:rsidDel="00000000" w:rsidR="00000000" w:rsidRPr="00000000">
        <w:rPr>
          <w:rtl w:val="0"/>
        </w:rPr>
      </w:r>
    </w:p>
    <w:p w:rsidR="00000000" w:rsidDel="00000000" w:rsidP="00000000" w:rsidRDefault="00000000" w:rsidRPr="00000000" w14:paraId="00000015">
      <w:pPr>
        <w:rPr>
          <w:b w:val="1"/>
          <w:sz w:val="28"/>
          <w:szCs w:val="28"/>
        </w:rPr>
      </w:pPr>
      <w:r w:rsidDel="00000000" w:rsidR="00000000" w:rsidRPr="00000000">
        <w:rPr>
          <w:b w:val="1"/>
          <w:sz w:val="28"/>
          <w:szCs w:val="28"/>
          <w:rtl w:val="0"/>
        </w:rPr>
        <w:t xml:space="preserve">Policy:</w:t>
      </w:r>
    </w:p>
    <w:p w:rsidR="00000000" w:rsidDel="00000000" w:rsidP="00000000" w:rsidRDefault="00000000" w:rsidRPr="00000000" w14:paraId="00000016">
      <w:pPr>
        <w:rPr/>
      </w:pPr>
      <w:r w:rsidDel="00000000" w:rsidR="00000000" w:rsidRPr="00000000">
        <w:rPr>
          <w:rtl w:val="0"/>
        </w:rPr>
        <w:t xml:space="preserve">In making purchasing decisions with respect to products and services for the company, an effort shall be made to source and purchase products and services from local businesses. “Local” is defined as being within a [</w:t>
      </w:r>
      <w:r w:rsidDel="00000000" w:rsidR="00000000" w:rsidRPr="00000000">
        <w:rPr>
          <w:i w:val="1"/>
          <w:highlight w:val="yellow"/>
          <w:rtl w:val="0"/>
        </w:rPr>
        <w:t xml:space="preserve">specify</w:t>
      </w:r>
      <w:r w:rsidDel="00000000" w:rsidR="00000000" w:rsidRPr="00000000">
        <w:rPr>
          <w:rtl w:val="0"/>
        </w:rPr>
        <w:t xml:space="preserve">] mile radius, with preferred purchasing being within a [</w:t>
      </w:r>
      <w:r w:rsidDel="00000000" w:rsidR="00000000" w:rsidRPr="00000000">
        <w:rPr>
          <w:i w:val="1"/>
          <w:highlight w:val="yellow"/>
          <w:rtl w:val="0"/>
        </w:rPr>
        <w:t xml:space="preserve">specify</w:t>
      </w:r>
      <w:r w:rsidDel="00000000" w:rsidR="00000000" w:rsidRPr="00000000">
        <w:rPr>
          <w:rtl w:val="0"/>
        </w:rPr>
        <w:t xml:space="preserve">] -­‐mile radius, of our company’s main office location.   </w:t>
      </w:r>
    </w:p>
    <w:p w:rsidR="00000000" w:rsidDel="00000000" w:rsidP="00000000" w:rsidRDefault="00000000" w:rsidRPr="00000000" w14:paraId="00000017">
      <w:pPr>
        <w:rPr/>
      </w:pPr>
      <w:r w:rsidDel="00000000" w:rsidR="00000000" w:rsidRPr="00000000">
        <w:rPr>
          <w:rtl w:val="0"/>
        </w:rPr>
        <w:t xml:space="preserve"> </w:t>
      </w:r>
    </w:p>
    <w:p w:rsidR="00000000" w:rsidDel="00000000" w:rsidP="00000000" w:rsidRDefault="00000000" w:rsidRPr="00000000" w14:paraId="00000018">
      <w:pPr>
        <w:rPr/>
      </w:pPr>
      <w:bookmarkStart w:colFirst="0" w:colLast="0" w:name="_heading=h.3znysh7" w:id="3"/>
      <w:bookmarkEnd w:id="3"/>
      <w:r w:rsidDel="00000000" w:rsidR="00000000" w:rsidRPr="00000000">
        <w:rPr>
          <w:rtl w:val="0"/>
        </w:rPr>
        <w:t xml:space="preserve">After taking into account the total cost of purchase and delivery, or travel cost reimbursements, associated with products and services, as well as quality of product, any cost difference of [</w:t>
      </w:r>
      <w:r w:rsidDel="00000000" w:rsidR="00000000" w:rsidRPr="00000000">
        <w:rPr>
          <w:i w:val="1"/>
          <w:highlight w:val="yellow"/>
          <w:rtl w:val="0"/>
        </w:rPr>
        <w:t xml:space="preserve">specify</w:t>
      </w:r>
      <w:r w:rsidDel="00000000" w:rsidR="00000000" w:rsidRPr="00000000">
        <w:rPr>
          <w:rtl w:val="0"/>
        </w:rPr>
        <w:t xml:space="preserve">]% or less shall be resolved in favor of the local business that is most proximate to our company. A greater cost differential shall be resolved on a case by case basis, taking into consideration the intent of this policy; provided that a cost differential of [</w:t>
      </w:r>
      <w:r w:rsidDel="00000000" w:rsidR="00000000" w:rsidRPr="00000000">
        <w:rPr>
          <w:i w:val="1"/>
          <w:highlight w:val="yellow"/>
          <w:rtl w:val="0"/>
        </w:rPr>
        <w:t xml:space="preserve">specify</w:t>
      </w:r>
      <w:r w:rsidDel="00000000" w:rsidR="00000000" w:rsidRPr="00000000">
        <w:rPr>
          <w:rtl w:val="0"/>
        </w:rPr>
        <w:t xml:space="preserve">]% or more shall require approval of the company employee with next higher procurement approval authority.</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The procurement employee shall utilize the local businesses database maintained by the Steward, and conduct independent research as needed. The procurement employee shall provide the Steward with the name, location, and product or service information for all new local businesses identified and considered during the sourcing process. Procurement forms shall include a place to indicate whether or not the product or service constitutes a local purchase.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Any conflict between environmentally preferred products or sustainability accredited service providers and location shall be resolved in favor of the former. Procurement forms shall include a place to indicate whether or not a non-­‐local purchase was made for this reason.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Employees engaged in procurement activities should always provide vendors and suppliers with a copy of our company Environmental Policy and ask suppliers what their sustainability strategy is and whether they source locally. Procurement employees are encouraged to work collaboratively with suppliers to improve local sourcing and sustainability attributes of products and services, consistent with our company policies.</w:t>
      </w:r>
    </w:p>
    <w:p w:rsidR="00000000" w:rsidDel="00000000" w:rsidP="00000000" w:rsidRDefault="00000000" w:rsidRPr="00000000" w14:paraId="0000001F">
      <w:pPr>
        <w:keepNext w:val="1"/>
        <w:keepLines w:val="1"/>
        <w:rPr>
          <w:b w:val="1"/>
          <w:sz w:val="28"/>
          <w:szCs w:val="28"/>
        </w:rPr>
      </w:pPr>
      <w:r w:rsidDel="00000000" w:rsidR="00000000" w:rsidRPr="00000000">
        <w:rPr>
          <w:rtl w:val="0"/>
        </w:rPr>
      </w:r>
    </w:p>
    <w:p w:rsidR="00000000" w:rsidDel="00000000" w:rsidP="00000000" w:rsidRDefault="00000000" w:rsidRPr="00000000" w14:paraId="00000020">
      <w:pPr>
        <w:keepNext w:val="1"/>
        <w:keepLines w:val="1"/>
        <w:rPr>
          <w:b w:val="1"/>
          <w:sz w:val="28"/>
          <w:szCs w:val="28"/>
        </w:rPr>
      </w:pPr>
      <w:r w:rsidDel="00000000" w:rsidR="00000000" w:rsidRPr="00000000">
        <w:rPr>
          <w:b w:val="1"/>
          <w:sz w:val="28"/>
          <w:szCs w:val="28"/>
          <w:rtl w:val="0"/>
        </w:rPr>
        <w:t xml:space="preserve">Role &amp; Responsibilities of the Steward(s):</w:t>
      </w:r>
    </w:p>
    <w:p w:rsidR="00000000" w:rsidDel="00000000" w:rsidP="00000000" w:rsidRDefault="00000000" w:rsidRPr="00000000" w14:paraId="00000021">
      <w:pPr>
        <w:rPr/>
      </w:pPr>
      <w:r w:rsidDel="00000000" w:rsidR="00000000" w:rsidRPr="00000000">
        <w:rPr>
          <w:rtl w:val="0"/>
        </w:rPr>
        <w:t xml:space="preserve">The Steward shall establish, and regularly maintain and update with information provided by procurement employees, a searchable database of local businesses by name, location, and product or service. The Steward shall make the database readily available to procurement employees.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The Steward shall develop and maintain a procurement process for tracking local purchases as a percentage of all purchase by dollar value, and non-­‐local purchases made because of environmental or other sustainability reasons. The Steward shall report on these two parameters quarterly to the chief financial officer of the company.</w:t>
      </w:r>
    </w:p>
    <w:p w:rsidR="00000000" w:rsidDel="00000000" w:rsidP="00000000" w:rsidRDefault="00000000" w:rsidRPr="00000000" w14:paraId="00000024">
      <w:pPr>
        <w:tabs>
          <w:tab w:val="left" w:leader="none" w:pos="3600"/>
        </w:tabs>
        <w:rPr/>
      </w:pPr>
      <w:r w:rsidDel="00000000" w:rsidR="00000000" w:rsidRPr="00000000">
        <w:rPr>
          <w:rtl w:val="0"/>
        </w:rPr>
      </w:r>
    </w:p>
    <w:p w:rsidR="00000000" w:rsidDel="00000000" w:rsidP="00000000" w:rsidRDefault="00000000" w:rsidRPr="00000000" w14:paraId="00000025">
      <w:pPr>
        <w:keepNext w:val="1"/>
        <w:keepLines w:val="1"/>
        <w:rPr>
          <w:b w:val="1"/>
          <w:sz w:val="28"/>
          <w:szCs w:val="28"/>
        </w:rPr>
      </w:pPr>
      <w:r w:rsidDel="00000000" w:rsidR="00000000" w:rsidRPr="00000000">
        <w:rPr>
          <w:b w:val="1"/>
          <w:sz w:val="28"/>
          <w:szCs w:val="28"/>
          <w:rtl w:val="0"/>
        </w:rPr>
        <w:t xml:space="preserve">Performance Measures:</w:t>
      </w:r>
    </w:p>
    <w:p w:rsidR="00000000" w:rsidDel="00000000" w:rsidP="00000000" w:rsidRDefault="00000000" w:rsidRPr="00000000" w14:paraId="00000026">
      <w:pPr>
        <w:rPr/>
      </w:pPr>
      <w:r w:rsidDel="00000000" w:rsidR="00000000" w:rsidRPr="00000000">
        <w:rPr>
          <w:rtl w:val="0"/>
        </w:rPr>
        <w:t xml:space="preserve">The chief financial officer shall provide regular management review of the quarterly local purchasing reports, with analysis of any key social, environmental, and economic indicators emerging from local purchasing trends. </w:t>
      </w:r>
    </w:p>
    <w:p w:rsidR="00000000" w:rsidDel="00000000" w:rsidP="00000000" w:rsidRDefault="00000000" w:rsidRPr="00000000" w14:paraId="00000027">
      <w:pPr>
        <w:keepNext w:val="1"/>
        <w:keepLines w:val="1"/>
        <w:rPr>
          <w:b w:val="1"/>
        </w:rPr>
      </w:pPr>
      <w:r w:rsidDel="00000000" w:rsidR="00000000" w:rsidRPr="00000000">
        <w:rPr>
          <w:rtl w:val="0"/>
        </w:rPr>
      </w:r>
    </w:p>
    <w:p w:rsidR="00000000" w:rsidDel="00000000" w:rsidP="00000000" w:rsidRDefault="00000000" w:rsidRPr="00000000" w14:paraId="00000028">
      <w:pPr>
        <w:rPr>
          <w:b w:val="1"/>
          <w:sz w:val="28"/>
          <w:szCs w:val="28"/>
        </w:rPr>
      </w:pPr>
      <w:r w:rsidDel="00000000" w:rsidR="00000000" w:rsidRPr="00000000">
        <w:rPr>
          <w:rtl w:val="0"/>
        </w:rPr>
        <w:t xml:space="preserve">Last reviewed/revised: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sectPr>
      <w:headerReference r:id="rId7" w:type="default"/>
      <w:footerReference r:id="rId8" w:type="default"/>
      <w:pgSz w:h="15840" w:w="12240" w:orient="portrait"/>
      <w:pgMar w:bottom="1440" w:top="216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2B">
    <w:pPr>
      <w:ind w:left="630" w:firstLine="0"/>
      <w:rPr>
        <w:rFonts w:ascii="Calibri" w:cs="Calibri" w:eastAsia="Calibri" w:hAnsi="Calibri"/>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2667000</wp:posOffset>
              </wp:positionH>
              <wp:positionV relativeFrom="paragraph">
                <wp:posOffset>660400</wp:posOffset>
              </wp:positionV>
              <wp:extent cx="0" cy="44450"/>
              <wp:effectExtent b="0" l="0" r="0" t="0"/>
              <wp:wrapNone/>
              <wp:docPr id="10" name=""/>
              <a:graphic>
                <a:graphicData uri="http://schemas.microsoft.com/office/word/2010/wordprocessingShape">
                  <wps:wsp>
                    <wps:cNvCnPr/>
                    <wps:spPr>
                      <a:xfrm>
                        <a:off x="3288600" y="3780000"/>
                        <a:ext cx="4114800" cy="0"/>
                      </a:xfrm>
                      <a:prstGeom prst="straightConnector1">
                        <a:avLst/>
                      </a:prstGeom>
                      <a:noFill/>
                      <a:ln cap="flat" cmpd="sng" w="44450">
                        <a:solidFill>
                          <a:srgbClr val="007A00"/>
                        </a:solidFill>
                        <a:prstDash val="solid"/>
                        <a:round/>
                        <a:headEnd len="med" w="med" type="none"/>
                        <a:tailEnd len="med" w="med" type="none"/>
                      </a:ln>
                      <a:effectLst>
                        <a:outerShdw rotWithShape="0" algn="ctr" dir="5400000" dist="25400">
                          <a:srgbClr val="808080">
                            <a:alpha val="34901"/>
                          </a:srgbClr>
                        </a:outerShdw>
                      </a:effectLst>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2667000</wp:posOffset>
              </wp:positionH>
              <wp:positionV relativeFrom="paragraph">
                <wp:posOffset>660400</wp:posOffset>
              </wp:positionV>
              <wp:extent cx="0" cy="44450"/>
              <wp:effectExtent b="0" l="0" r="0" t="0"/>
              <wp:wrapNone/>
              <wp:docPr id="10"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0" cy="44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2882900</wp:posOffset>
              </wp:positionH>
              <wp:positionV relativeFrom="paragraph">
                <wp:posOffset>0</wp:posOffset>
              </wp:positionV>
              <wp:extent cx="3667125" cy="695325"/>
              <wp:effectExtent b="0" l="0" r="0" t="0"/>
              <wp:wrapNone/>
              <wp:docPr id="9" name=""/>
              <a:graphic>
                <a:graphicData uri="http://schemas.microsoft.com/office/word/2010/wordprocessingShape">
                  <wps:wsp>
                    <wps:cNvSpPr/>
                    <wps:cNvPr id="3" name="Shape 3"/>
                    <wps:spPr>
                      <a:xfrm>
                        <a:off x="3517200" y="3437100"/>
                        <a:ext cx="3657600" cy="6858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72"/>
                              <w:vertAlign w:val="baseline"/>
                            </w:rPr>
                            <w:t xml:space="preserve">Buy Local Policy</w:t>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2882900</wp:posOffset>
              </wp:positionH>
              <wp:positionV relativeFrom="paragraph">
                <wp:posOffset>0</wp:posOffset>
              </wp:positionV>
              <wp:extent cx="3667125" cy="695325"/>
              <wp:effectExtent b="0" l="0" r="0" t="0"/>
              <wp:wrapNone/>
              <wp:docPr id="9"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667125" cy="6953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-457199</wp:posOffset>
              </wp:positionH>
              <wp:positionV relativeFrom="paragraph">
                <wp:posOffset>-228599</wp:posOffset>
              </wp:positionV>
              <wp:extent cx="2295525" cy="1152525"/>
              <wp:effectExtent b="0" l="0" r="0" t="0"/>
              <wp:wrapNone/>
              <wp:docPr id="8" name=""/>
              <a:graphic>
                <a:graphicData uri="http://schemas.microsoft.com/office/word/2010/wordprocessingShape">
                  <wps:wsp>
                    <wps:cNvSpPr/>
                    <wps:cNvPr id="2" name="Shape 2"/>
                    <wps:spPr>
                      <a:xfrm>
                        <a:off x="4203000" y="3208500"/>
                        <a:ext cx="2286000" cy="1143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t xml:space="preserve">PLACE YOUR LOGO HERE</w:t>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-457199</wp:posOffset>
              </wp:positionH>
              <wp:positionV relativeFrom="paragraph">
                <wp:posOffset>-228599</wp:posOffset>
              </wp:positionV>
              <wp:extent cx="2295525" cy="1152525"/>
              <wp:effectExtent b="0" l="0" r="0" t="0"/>
              <wp:wrapNone/>
              <wp:docPr id="8" name="image1.png"/>
              <a:graphic>
                <a:graphicData uri="http://schemas.openxmlformats.org/drawingml/2006/picture">
                  <pic:pic>
                    <pic:nvPicPr>
                      <pic:cNvPr id="0" name="image1.png"/>
                      <pic:cNvPicPr preferRelativeResize="0"/>
                    </pic:nvPicPr>
                    <pic:blipFill>
                      <a:blip r:embed="rId3"/>
                      <a:srcRect/>
                      <a:stretch>
                        <a:fillRect/>
                      </a:stretch>
                    </pic:blipFill>
                    <pic:spPr>
                      <a:xfrm>
                        <a:off x="0" y="0"/>
                        <a:ext cx="2295525" cy="115252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276D7"/>
    <w:rPr>
      <w:rFonts w:ascii="Calibri"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02A59"/>
    <w:pPr>
      <w:tabs>
        <w:tab w:val="center" w:pos="4320"/>
        <w:tab w:val="right" w:pos="8640"/>
      </w:tabs>
    </w:pPr>
  </w:style>
  <w:style w:type="character" w:styleId="HeaderChar" w:customStyle="1">
    <w:name w:val="Header Char"/>
    <w:basedOn w:val="DefaultParagraphFont"/>
    <w:link w:val="Header"/>
    <w:uiPriority w:val="99"/>
    <w:rsid w:val="00002A59"/>
    <w:rPr>
      <w:rFonts w:ascii="Calibri" w:hAnsi="Calibri"/>
    </w:rPr>
  </w:style>
  <w:style w:type="paragraph" w:styleId="Footer">
    <w:name w:val="footer"/>
    <w:basedOn w:val="Normal"/>
    <w:link w:val="FooterChar"/>
    <w:uiPriority w:val="99"/>
    <w:unhideWhenUsed w:val="1"/>
    <w:rsid w:val="00002A59"/>
    <w:pPr>
      <w:tabs>
        <w:tab w:val="center" w:pos="4320"/>
        <w:tab w:val="right" w:pos="8640"/>
      </w:tabs>
    </w:pPr>
  </w:style>
  <w:style w:type="character" w:styleId="FooterChar" w:customStyle="1">
    <w:name w:val="Footer Char"/>
    <w:basedOn w:val="DefaultParagraphFont"/>
    <w:link w:val="Footer"/>
    <w:uiPriority w:val="99"/>
    <w:rsid w:val="00002A59"/>
    <w:rPr>
      <w:rFonts w:ascii="Calibri" w:hAnsi="Calibri"/>
    </w:rPr>
  </w:style>
  <w:style w:type="character" w:styleId="PageNumber">
    <w:name w:val="page number"/>
    <w:basedOn w:val="DefaultParagraphFont"/>
    <w:uiPriority w:val="99"/>
    <w:semiHidden w:val="1"/>
    <w:unhideWhenUsed w:val="1"/>
    <w:rsid w:val="00AB0DDF"/>
  </w:style>
  <w:style w:type="character" w:styleId="PlaceholderText">
    <w:name w:val="Placeholder Text"/>
    <w:basedOn w:val="DefaultParagraphFont"/>
    <w:semiHidden w:val="1"/>
    <w:rsid w:val="00D16C05"/>
    <w:rPr>
      <w:color w:val="808080"/>
    </w:rPr>
  </w:style>
  <w:style w:type="character" w:styleId="Hyperlink">
    <w:name w:val="Hyperlink"/>
    <w:basedOn w:val="DefaultParagraphFont"/>
    <w:rsid w:val="000A6989"/>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APftt9H9XLgGlSNDeO/c/av9AA==">CgMxLjAyCWlkLmdqZGd4czIKaWQuMzBqMHpsbDIKaWQuMWZvYjl0ZTIJaC4zem55c2g3OAByITEzUFliOGtlcXBURzJTUGdadzNyVV9GOUtob3BVeW5hMQ==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2016-03-22T13:50:00Z</dcterms:created>
  <dc:creator>Nancy S. Cleveland</dc:creator>
</cp:coreProperties>
</file>